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2259B" w14:textId="2989C5A3" w:rsidR="00F85FFD" w:rsidRPr="00F51FCE" w:rsidRDefault="00F00B06" w:rsidP="00222734">
      <w:pPr>
        <w:spacing w:line="240" w:lineRule="auto"/>
        <w:rPr>
          <w:rFonts w:asciiTheme="majorHAnsi" w:hAnsiTheme="majorHAnsi"/>
          <w:b/>
          <w:color w:val="2E74B5" w:themeColor="accent1" w:themeShade="BF"/>
          <w:sz w:val="44"/>
          <w:szCs w:val="44"/>
        </w:rPr>
      </w:pPr>
      <w:bookmarkStart w:id="0" w:name="_GoBack"/>
      <w:bookmarkEnd w:id="0"/>
      <w:r>
        <w:rPr>
          <w:rFonts w:asciiTheme="majorHAnsi" w:hAnsiTheme="majorHAnsi" w:cs="Arial"/>
          <w:b/>
          <w:color w:val="2E74B5" w:themeColor="accent1" w:themeShade="BF"/>
          <w:sz w:val="44"/>
          <w:szCs w:val="44"/>
          <w:lang w:eastAsia="en-GB"/>
        </w:rPr>
        <w:t>How should the role of the nurse change in response to Covid-19?</w:t>
      </w:r>
    </w:p>
    <w:p w14:paraId="60597CFB" w14:textId="22A2B94D" w:rsidR="00F85FFD" w:rsidRPr="00F85FFD" w:rsidRDefault="0055046A" w:rsidP="00F85FFD">
      <w:pPr>
        <w:autoSpaceDE w:val="0"/>
        <w:autoSpaceDN w:val="0"/>
        <w:adjustRightInd w:val="0"/>
        <w:spacing w:after="0" w:line="240" w:lineRule="auto"/>
        <w:rPr>
          <w:rFonts w:ascii="Cambria" w:hAnsi="Cambria"/>
          <w:b/>
        </w:rPr>
      </w:pPr>
      <w:r>
        <w:rPr>
          <w:rFonts w:ascii="Cambria" w:eastAsiaTheme="minorHAnsi" w:hAnsi="Cambria" w:cs="Gotham-Book"/>
          <w:b/>
        </w:rPr>
        <w:t xml:space="preserve">Citation: </w:t>
      </w:r>
      <w:proofErr w:type="spellStart"/>
      <w:r w:rsidR="00F00B06">
        <w:rPr>
          <w:rFonts w:ascii="Cambria" w:eastAsiaTheme="minorHAnsi" w:hAnsi="Cambria" w:cs="Gotham-Book"/>
          <w:b/>
        </w:rPr>
        <w:t>Purba</w:t>
      </w:r>
      <w:proofErr w:type="spellEnd"/>
      <w:r w:rsidR="00F00B06">
        <w:rPr>
          <w:rFonts w:ascii="Cambria" w:eastAsiaTheme="minorHAnsi" w:hAnsi="Cambria" w:cs="Gotham-Book"/>
          <w:b/>
        </w:rPr>
        <w:t xml:space="preserve"> AK</w:t>
      </w:r>
      <w:r w:rsidR="00F85FFD" w:rsidRPr="00F85FFD">
        <w:rPr>
          <w:rFonts w:ascii="Cambria" w:eastAsiaTheme="minorHAnsi" w:hAnsi="Cambria" w:cs="Gotham-Book"/>
        </w:rPr>
        <w:t xml:space="preserve"> (20</w:t>
      </w:r>
      <w:r>
        <w:rPr>
          <w:rFonts w:ascii="Cambria" w:eastAsiaTheme="minorHAnsi" w:hAnsi="Cambria" w:cs="Gotham-Book"/>
        </w:rPr>
        <w:t>20</w:t>
      </w:r>
      <w:r w:rsidR="00F85FFD" w:rsidRPr="00F85FFD">
        <w:rPr>
          <w:rFonts w:ascii="Cambria" w:eastAsiaTheme="minorHAnsi" w:hAnsi="Cambria" w:cs="Gotham-Book"/>
        </w:rPr>
        <w:t xml:space="preserve">) </w:t>
      </w:r>
      <w:r w:rsidR="00F00B06">
        <w:rPr>
          <w:rFonts w:ascii="Cambria" w:eastAsiaTheme="minorHAnsi" w:hAnsi="Cambria" w:cs="Gotham-Book"/>
        </w:rPr>
        <w:t>How should the role of the nurse change in response to Covid-19?</w:t>
      </w:r>
      <w:r w:rsidR="00F85FFD" w:rsidRPr="00F85FFD">
        <w:rPr>
          <w:rFonts w:ascii="Cambria" w:eastAsiaTheme="minorHAnsi" w:hAnsi="Cambria" w:cs="Gotham-Book"/>
        </w:rPr>
        <w:t xml:space="preserve"> </w:t>
      </w:r>
      <w:r w:rsidR="00F85FFD" w:rsidRPr="00F85FFD">
        <w:rPr>
          <w:rFonts w:ascii="Cambria" w:eastAsiaTheme="minorHAnsi" w:hAnsi="Cambria" w:cs="Gotham-BookItalic"/>
          <w:i/>
          <w:iCs/>
        </w:rPr>
        <w:t>Nursing Times</w:t>
      </w:r>
      <w:r w:rsidR="00DF7E4E">
        <w:rPr>
          <w:rFonts w:ascii="Cambria" w:eastAsiaTheme="minorHAnsi" w:hAnsi="Cambria" w:cs="Gotham-BookItalic"/>
          <w:i/>
          <w:iCs/>
        </w:rPr>
        <w:t>;</w:t>
      </w:r>
      <w:r w:rsidR="00F85FFD" w:rsidRPr="00F85FFD">
        <w:rPr>
          <w:rFonts w:ascii="Cambria" w:eastAsiaTheme="minorHAnsi" w:hAnsi="Cambria" w:cs="Gotham-Book"/>
        </w:rPr>
        <w:t xml:space="preserve"> </w:t>
      </w:r>
      <w:r w:rsidR="00D31DBD">
        <w:rPr>
          <w:rFonts w:ascii="Cambria" w:eastAsiaTheme="minorHAnsi" w:hAnsi="Cambria" w:cs="Gotham-Book"/>
        </w:rPr>
        <w:t>11</w:t>
      </w:r>
      <w:r>
        <w:rPr>
          <w:rFonts w:ascii="Cambria" w:eastAsiaTheme="minorHAnsi" w:hAnsi="Cambria" w:cs="Gotham-Book"/>
        </w:rPr>
        <w:t>6</w:t>
      </w:r>
      <w:r w:rsidR="00D31DBD">
        <w:rPr>
          <w:rFonts w:ascii="Cambria" w:eastAsiaTheme="minorHAnsi" w:hAnsi="Cambria" w:cs="Gotham-Book"/>
        </w:rPr>
        <w:t xml:space="preserve">: </w:t>
      </w:r>
      <w:r w:rsidR="00F00B06">
        <w:rPr>
          <w:rFonts w:ascii="Cambria" w:eastAsiaTheme="minorHAnsi" w:hAnsi="Cambria" w:cs="Gotham-Book"/>
        </w:rPr>
        <w:t>6</w:t>
      </w:r>
      <w:r w:rsidR="00150B33">
        <w:rPr>
          <w:rFonts w:ascii="Cambria" w:eastAsiaTheme="minorHAnsi" w:hAnsi="Cambria" w:cs="Gotham-Book"/>
        </w:rPr>
        <w:t>,</w:t>
      </w:r>
      <w:r w:rsidR="00F85FFD" w:rsidRPr="00F85FFD">
        <w:rPr>
          <w:rFonts w:ascii="Cambria" w:eastAsiaTheme="minorHAnsi" w:hAnsi="Cambria" w:cs="Gotham-Book"/>
        </w:rPr>
        <w:t xml:space="preserve"> </w:t>
      </w:r>
      <w:r w:rsidR="00F00B06">
        <w:rPr>
          <w:rFonts w:ascii="Cambria" w:eastAsiaTheme="minorHAnsi" w:hAnsi="Cambria" w:cs="Gotham-Book"/>
        </w:rPr>
        <w:t>25-28</w:t>
      </w:r>
      <w:r w:rsidR="00F85FFD" w:rsidRPr="00F85FFD">
        <w:rPr>
          <w:rFonts w:ascii="Cambria" w:eastAsiaTheme="minorHAnsi" w:hAnsi="Cambria" w:cs="Gotham-Book"/>
        </w:rPr>
        <w:t>.</w:t>
      </w:r>
    </w:p>
    <w:p w14:paraId="641C8292" w14:textId="77777777" w:rsidR="00F85FFD" w:rsidRPr="00222734" w:rsidRDefault="00F85FFD" w:rsidP="00222734">
      <w:pPr>
        <w:spacing w:line="240" w:lineRule="auto"/>
        <w:rPr>
          <w:rFonts w:ascii="Cambria" w:hAnsi="Cambria"/>
          <w:b/>
          <w:sz w:val="16"/>
          <w:szCs w:val="16"/>
        </w:rPr>
      </w:pPr>
    </w:p>
    <w:tbl>
      <w:tblPr>
        <w:tblStyle w:val="TableGrid"/>
        <w:tblW w:w="9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4917"/>
        <w:gridCol w:w="4636"/>
      </w:tblGrid>
      <w:tr w:rsidR="009A0C18" w14:paraId="46C65F3E" w14:textId="77777777" w:rsidTr="00C47E07">
        <w:trPr>
          <w:trHeight w:val="19"/>
        </w:trPr>
        <w:tc>
          <w:tcPr>
            <w:tcW w:w="9553" w:type="dxa"/>
            <w:gridSpan w:val="2"/>
            <w:shd w:val="clear" w:color="auto" w:fill="DEEAF6" w:themeFill="accent1" w:themeFillTint="33"/>
          </w:tcPr>
          <w:p w14:paraId="34CA0FA1" w14:textId="688406F5" w:rsidR="009A0C18" w:rsidRPr="002A134E" w:rsidRDefault="009A0C18" w:rsidP="00343579">
            <w:pPr>
              <w:spacing w:before="170"/>
              <w:rPr>
                <w:rFonts w:asciiTheme="minorHAnsi" w:hAnsiTheme="minorHAnsi"/>
                <w:b/>
                <w:color w:val="FB9103"/>
                <w:sz w:val="36"/>
                <w:szCs w:val="36"/>
              </w:rPr>
            </w:pPr>
            <w:r w:rsidRPr="002A134E">
              <w:rPr>
                <w:rFonts w:asciiTheme="minorHAnsi" w:hAnsiTheme="minorHAnsi"/>
                <w:b/>
                <w:color w:val="FB9103"/>
                <w:sz w:val="36"/>
                <w:szCs w:val="36"/>
              </w:rPr>
              <w:t xml:space="preserve">How to use this article </w:t>
            </w:r>
            <w:r w:rsidR="0055046A">
              <w:rPr>
                <w:rFonts w:asciiTheme="minorHAnsi" w:hAnsiTheme="minorHAnsi"/>
                <w:b/>
                <w:color w:val="FB9103"/>
                <w:sz w:val="36"/>
                <w:szCs w:val="36"/>
              </w:rPr>
              <w:t>in your revalidation activities</w:t>
            </w:r>
          </w:p>
        </w:tc>
      </w:tr>
      <w:tr w:rsidR="009A0C18" w14:paraId="1357B95D" w14:textId="77777777" w:rsidTr="00C47E07">
        <w:trPr>
          <w:trHeight w:val="2316"/>
        </w:trPr>
        <w:tc>
          <w:tcPr>
            <w:tcW w:w="4917" w:type="dxa"/>
            <w:shd w:val="clear" w:color="auto" w:fill="DEEAF6" w:themeFill="accent1" w:themeFillTint="33"/>
          </w:tcPr>
          <w:p w14:paraId="09206663" w14:textId="04A04D20" w:rsidR="00723E45" w:rsidRDefault="009A0C18" w:rsidP="009A0C18">
            <w:pPr>
              <w:spacing w:after="120" w:line="240" w:lineRule="auto"/>
              <w:rPr>
                <w:rFonts w:ascii="Cambria" w:hAnsi="Cambria"/>
              </w:rPr>
            </w:pPr>
            <w:r w:rsidRPr="00F85FFD">
              <w:rPr>
                <w:rFonts w:ascii="Cambria" w:hAnsi="Cambria"/>
              </w:rPr>
              <w:t xml:space="preserve">Print the article </w:t>
            </w:r>
            <w:r w:rsidR="0055046A">
              <w:rPr>
                <w:rFonts w:ascii="Cambria" w:hAnsi="Cambria"/>
              </w:rPr>
              <w:t xml:space="preserve">and distribute it to all members of your journal club </w:t>
            </w:r>
            <w:r w:rsidRPr="00F85FFD">
              <w:rPr>
                <w:rFonts w:ascii="Cambria" w:hAnsi="Cambria"/>
              </w:rPr>
              <w:t xml:space="preserve">before your </w:t>
            </w:r>
            <w:r>
              <w:rPr>
                <w:rFonts w:ascii="Cambria" w:hAnsi="Cambria"/>
              </w:rPr>
              <w:t>meeting</w:t>
            </w:r>
            <w:r w:rsidR="00723E45">
              <w:rPr>
                <w:rFonts w:ascii="Cambria" w:hAnsi="Cambria"/>
              </w:rPr>
              <w:t>.</w:t>
            </w:r>
            <w:r>
              <w:rPr>
                <w:rFonts w:ascii="Cambria" w:hAnsi="Cambria"/>
              </w:rPr>
              <w:t xml:space="preserve"> </w:t>
            </w:r>
            <w:r w:rsidR="00723E45">
              <w:rPr>
                <w:rFonts w:ascii="Cambria" w:hAnsi="Cambria"/>
              </w:rPr>
              <w:t>U</w:t>
            </w:r>
            <w:r>
              <w:rPr>
                <w:rFonts w:ascii="Cambria" w:hAnsi="Cambria"/>
              </w:rPr>
              <w:t>se the author</w:t>
            </w:r>
            <w:r w:rsidR="00AF4CD6">
              <w:rPr>
                <w:rFonts w:ascii="Cambria" w:hAnsi="Cambria"/>
              </w:rPr>
              <w:t xml:space="preserve"> commentary and discussion points</w:t>
            </w:r>
            <w:r w:rsidRPr="00F85FFD">
              <w:rPr>
                <w:rFonts w:ascii="Cambria" w:hAnsi="Cambria"/>
              </w:rPr>
              <w:t xml:space="preserve"> below to help get your discussions started. </w:t>
            </w:r>
          </w:p>
          <w:p w14:paraId="43409980" w14:textId="3954E6A0" w:rsidR="009A0C18" w:rsidRPr="00F85FFD" w:rsidRDefault="00C47E07" w:rsidP="009A0C18">
            <w:pPr>
              <w:spacing w:after="120" w:line="240" w:lineRule="auto"/>
              <w:rPr>
                <w:rFonts w:ascii="Cambria" w:hAnsi="Cambria"/>
              </w:rPr>
            </w:pPr>
            <w:r>
              <w:rPr>
                <w:rFonts w:ascii="Cambria" w:hAnsi="Cambria"/>
              </w:rPr>
              <w:t>P</w:t>
            </w:r>
            <w:r w:rsidR="009A0C18" w:rsidRPr="00F85FFD">
              <w:rPr>
                <w:rFonts w:ascii="Cambria" w:hAnsi="Cambria"/>
              </w:rPr>
              <w:t>articipation in journal club</w:t>
            </w:r>
            <w:r>
              <w:rPr>
                <w:rFonts w:ascii="Cambria" w:hAnsi="Cambria"/>
              </w:rPr>
              <w:t>s</w:t>
            </w:r>
            <w:r w:rsidR="009A0C18" w:rsidRPr="00F85FFD">
              <w:rPr>
                <w:rFonts w:ascii="Cambria" w:hAnsi="Cambria"/>
              </w:rPr>
              <w:t xml:space="preserve"> </w:t>
            </w:r>
            <w:r>
              <w:rPr>
                <w:rFonts w:ascii="Cambria" w:hAnsi="Cambria"/>
              </w:rPr>
              <w:t>can be used for revalidation as</w:t>
            </w:r>
            <w:r w:rsidR="0055046A">
              <w:rPr>
                <w:rFonts w:ascii="Cambria" w:hAnsi="Cambria"/>
              </w:rPr>
              <w:t xml:space="preserve"> </w:t>
            </w:r>
            <w:r w:rsidR="0055046A" w:rsidRPr="0055046A">
              <w:rPr>
                <w:rFonts w:ascii="Cambria" w:hAnsi="Cambria"/>
                <w:b/>
                <w:bCs/>
              </w:rPr>
              <w:t>participatory CPD</w:t>
            </w:r>
            <w:r w:rsidR="0055046A">
              <w:rPr>
                <w:rFonts w:ascii="Cambria" w:hAnsi="Cambria"/>
              </w:rPr>
              <w:t xml:space="preserve"> and/or </w:t>
            </w:r>
            <w:r w:rsidR="0055046A" w:rsidRPr="0055046A">
              <w:rPr>
                <w:rFonts w:ascii="Cambria" w:hAnsi="Cambria"/>
                <w:b/>
                <w:bCs/>
              </w:rPr>
              <w:t>reflective accounts</w:t>
            </w:r>
            <w:r w:rsidR="0055046A">
              <w:rPr>
                <w:rFonts w:ascii="Cambria" w:hAnsi="Cambria"/>
                <w:b/>
                <w:bCs/>
              </w:rPr>
              <w:t>.</w:t>
            </w:r>
          </w:p>
          <w:p w14:paraId="204DA462" w14:textId="571C75CB" w:rsidR="009A0C18" w:rsidRPr="00F85FFD" w:rsidRDefault="009A0C18" w:rsidP="00C47E07">
            <w:pPr>
              <w:spacing w:after="120" w:line="240" w:lineRule="auto"/>
              <w:rPr>
                <w:rFonts w:ascii="Cambria" w:hAnsi="Cambria"/>
              </w:rPr>
            </w:pPr>
            <w:r w:rsidRPr="007A6F45">
              <w:rPr>
                <w:rFonts w:asciiTheme="minorHAnsi" w:hAnsiTheme="minorHAnsi"/>
                <w:b/>
                <w:color w:val="FB9103"/>
              </w:rPr>
              <w:t>Participatory CPD:</w:t>
            </w:r>
            <w:r w:rsidRPr="0078749B">
              <w:rPr>
                <w:rFonts w:ascii="Cambria" w:hAnsi="Cambria"/>
                <w:b/>
                <w:color w:val="FB9103"/>
              </w:rPr>
              <w:t xml:space="preserve"> </w:t>
            </w:r>
            <w:r w:rsidR="00723E45" w:rsidRPr="00723E45">
              <w:rPr>
                <w:rFonts w:ascii="Cambria" w:hAnsi="Cambria"/>
                <w:bCs/>
              </w:rPr>
              <w:t xml:space="preserve">Record the time you spent reading the article and discussing it in your journal club, </w:t>
            </w:r>
            <w:r w:rsidRPr="00723E45">
              <w:rPr>
                <w:rFonts w:ascii="Cambria" w:hAnsi="Cambria"/>
                <w:bCs/>
              </w:rPr>
              <w:t>d</w:t>
            </w:r>
            <w:r w:rsidRPr="00F85FFD">
              <w:rPr>
                <w:rFonts w:ascii="Cambria" w:hAnsi="Cambria"/>
              </w:rPr>
              <w:t xml:space="preserve">escribe what you learnt </w:t>
            </w:r>
            <w:r w:rsidR="0055046A">
              <w:rPr>
                <w:rFonts w:ascii="Cambria" w:hAnsi="Cambria"/>
              </w:rPr>
              <w:t>from the article and your group discussions, explain</w:t>
            </w:r>
            <w:r w:rsidRPr="00F85FFD">
              <w:rPr>
                <w:rFonts w:ascii="Cambria" w:hAnsi="Cambria"/>
              </w:rPr>
              <w:t xml:space="preserve"> how you will apply it to your practice, and how it links to the NMC Code;</w:t>
            </w:r>
          </w:p>
        </w:tc>
        <w:tc>
          <w:tcPr>
            <w:tcW w:w="4635" w:type="dxa"/>
            <w:shd w:val="clear" w:color="auto" w:fill="DEEAF6" w:themeFill="accent1" w:themeFillTint="33"/>
          </w:tcPr>
          <w:p w14:paraId="5DA8181F" w14:textId="08636C6E" w:rsidR="009A0C18" w:rsidRPr="00F85FFD" w:rsidRDefault="009A0C18" w:rsidP="009A0C18">
            <w:pPr>
              <w:spacing w:after="120" w:line="240" w:lineRule="auto"/>
              <w:rPr>
                <w:rFonts w:ascii="Cambria" w:hAnsi="Cambria"/>
              </w:rPr>
            </w:pPr>
            <w:r w:rsidRPr="007A6F45">
              <w:rPr>
                <w:rFonts w:asciiTheme="minorHAnsi" w:hAnsiTheme="minorHAnsi"/>
                <w:b/>
                <w:color w:val="FB9103"/>
              </w:rPr>
              <w:t>Reflective accounts:</w:t>
            </w:r>
            <w:r w:rsidRPr="0078749B">
              <w:rPr>
                <w:rFonts w:ascii="Cambria" w:hAnsi="Cambria"/>
                <w:color w:val="FB9103"/>
              </w:rPr>
              <w:t xml:space="preserve"> </w:t>
            </w:r>
            <w:r w:rsidRPr="00F85FFD">
              <w:rPr>
                <w:rFonts w:ascii="Cambria" w:hAnsi="Cambria"/>
              </w:rPr>
              <w:t>think about what you learned from your discussions, how you can use your learning to improve your practice, and how this relates to the NMC Code.</w:t>
            </w:r>
            <w:r w:rsidR="0055046A">
              <w:rPr>
                <w:rFonts w:ascii="Cambria" w:hAnsi="Cambria"/>
              </w:rPr>
              <w:t xml:space="preserve"> Add this information to the ‘notes’ section at the end of this document.</w:t>
            </w:r>
          </w:p>
          <w:p w14:paraId="17C9C611" w14:textId="77777777" w:rsidR="009A0C18" w:rsidRDefault="009A0C18" w:rsidP="00C47E07">
            <w:pPr>
              <w:spacing w:line="240" w:lineRule="auto"/>
              <w:rPr>
                <w:rFonts w:ascii="Cambria" w:hAnsi="Cambria"/>
              </w:rPr>
            </w:pPr>
            <w:r w:rsidRPr="00F85FFD">
              <w:rPr>
                <w:rFonts w:ascii="Cambria" w:hAnsi="Cambria"/>
              </w:rPr>
              <w:t xml:space="preserve">If you subscribe to </w:t>
            </w:r>
            <w:r w:rsidRPr="00150B33">
              <w:rPr>
                <w:rFonts w:ascii="Cambria" w:hAnsi="Cambria"/>
                <w:i/>
              </w:rPr>
              <w:t>Nursing Times,</w:t>
            </w:r>
            <w:r w:rsidRPr="00F85FFD">
              <w:rPr>
                <w:rFonts w:ascii="Cambria" w:hAnsi="Cambria"/>
              </w:rPr>
              <w:t xml:space="preserve"> log the evidence in the ‘Other professional development’ or ‘Reflective accounts’ section of your </w:t>
            </w:r>
            <w:r w:rsidR="00C47E07">
              <w:rPr>
                <w:rFonts w:ascii="Cambria" w:hAnsi="Cambria"/>
              </w:rPr>
              <w:t>NT Portfolio</w:t>
            </w:r>
            <w:r w:rsidRPr="00F85FFD">
              <w:rPr>
                <w:rFonts w:ascii="Cambria" w:hAnsi="Cambria"/>
              </w:rPr>
              <w:t>.</w:t>
            </w:r>
          </w:p>
          <w:p w14:paraId="14B232E8" w14:textId="292CDE32" w:rsidR="00723E45" w:rsidRPr="00F85FFD" w:rsidRDefault="00723E45" w:rsidP="00C47E07">
            <w:pPr>
              <w:spacing w:line="240" w:lineRule="auto"/>
              <w:rPr>
                <w:rFonts w:asciiTheme="minorHAnsi" w:hAnsiTheme="minorHAnsi"/>
                <w:b/>
                <w:color w:val="FB9103"/>
                <w:sz w:val="24"/>
              </w:rPr>
            </w:pPr>
            <w:r>
              <w:rPr>
                <w:rFonts w:ascii="Cambria" w:hAnsi="Cambria"/>
              </w:rPr>
              <w:t xml:space="preserve">For more information on setting up and running a journal club go to </w:t>
            </w:r>
            <w:r w:rsidRPr="00723E45">
              <w:rPr>
                <w:rFonts w:ascii="Cambria" w:hAnsi="Cambria"/>
                <w:b/>
                <w:bCs/>
              </w:rPr>
              <w:t>nursingtimes.net/</w:t>
            </w:r>
            <w:proofErr w:type="spellStart"/>
            <w:r w:rsidRPr="00723E45">
              <w:rPr>
                <w:rFonts w:ascii="Cambria" w:hAnsi="Cambria"/>
                <w:b/>
                <w:bCs/>
              </w:rPr>
              <w:t>ntjournalclub</w:t>
            </w:r>
            <w:proofErr w:type="spellEnd"/>
          </w:p>
        </w:tc>
      </w:tr>
    </w:tbl>
    <w:p w14:paraId="276ED86A" w14:textId="4094614D" w:rsidR="00F85FFD" w:rsidRPr="007E131B" w:rsidRDefault="00F00B06" w:rsidP="00222734">
      <w:pPr>
        <w:spacing w:before="170"/>
        <w:rPr>
          <w:rFonts w:asciiTheme="minorHAnsi" w:hAnsiTheme="minorHAnsi"/>
          <w:b/>
          <w:color w:val="5B9BD5" w:themeColor="accent1"/>
          <w:sz w:val="32"/>
          <w:szCs w:val="32"/>
        </w:rPr>
      </w:pPr>
      <w:r>
        <w:rPr>
          <w:rFonts w:asciiTheme="minorHAnsi" w:hAnsiTheme="minorHAnsi"/>
          <w:b/>
          <w:color w:val="5B9BD5" w:themeColor="accent1"/>
          <w:sz w:val="32"/>
          <w:szCs w:val="32"/>
        </w:rPr>
        <w:t>Nurses can help to reduce health inequalities and reduce the impact of future public health emergencies</w:t>
      </w:r>
    </w:p>
    <w:p w14:paraId="627113C0" w14:textId="77777777" w:rsidR="00222734" w:rsidRDefault="00222734" w:rsidP="009A0C18">
      <w:pPr>
        <w:spacing w:line="240" w:lineRule="auto"/>
        <w:rPr>
          <w:rFonts w:ascii="Cambria" w:hAnsi="Cambria"/>
        </w:rPr>
        <w:sectPr w:rsidR="00222734" w:rsidSect="00343579">
          <w:headerReference w:type="default" r:id="rId7"/>
          <w:pgSz w:w="11906" w:h="16838"/>
          <w:pgMar w:top="2304" w:right="1440" w:bottom="1440" w:left="1440" w:header="1008" w:footer="706" w:gutter="0"/>
          <w:cols w:space="708"/>
          <w:docGrid w:linePitch="360"/>
        </w:sectPr>
      </w:pPr>
    </w:p>
    <w:p w14:paraId="1978FDEC" w14:textId="77777777" w:rsidR="007F6EB1" w:rsidRDefault="007F6EB1" w:rsidP="007F6EB1">
      <w:pPr>
        <w:spacing w:after="40" w:line="240" w:lineRule="auto"/>
        <w:jc w:val="both"/>
        <w:rPr>
          <w:rFonts w:ascii="Cambria" w:hAnsi="Cambria"/>
        </w:rPr>
      </w:pPr>
      <w:r w:rsidRPr="00460B23">
        <w:rPr>
          <w:rFonts w:ascii="Cambria" w:hAnsi="Cambria"/>
        </w:rPr>
        <w:t xml:space="preserve">Health inequalities are the unfair and preventable differences in health across the population and between specific population groups. They are socially determined by circumstances largely beyond an individual’s own control, and their avoidable nature means they go against the principles of social justice. </w:t>
      </w:r>
    </w:p>
    <w:p w14:paraId="51B20CA4" w14:textId="77777777" w:rsidR="007F6EB1" w:rsidRPr="00460B23" w:rsidRDefault="007F6EB1" w:rsidP="007F6EB1">
      <w:pPr>
        <w:spacing w:after="40" w:line="240" w:lineRule="auto"/>
        <w:jc w:val="both"/>
        <w:rPr>
          <w:rFonts w:ascii="Cambria" w:hAnsi="Cambria"/>
        </w:rPr>
      </w:pPr>
      <w:r w:rsidRPr="00460B23">
        <w:rPr>
          <w:rFonts w:ascii="Cambria" w:hAnsi="Cambria"/>
        </w:rPr>
        <w:t>The primary causes of health inequalities include the unequal distribution of power, income and wealth, which can lead to the marginalisation of individuals and groups. These groups</w:t>
      </w:r>
      <w:r>
        <w:rPr>
          <w:rFonts w:ascii="Cambria" w:hAnsi="Cambria"/>
        </w:rPr>
        <w:t xml:space="preserve"> –</w:t>
      </w:r>
      <w:r w:rsidRPr="00460B23">
        <w:rPr>
          <w:rFonts w:ascii="Cambria" w:hAnsi="Cambria"/>
        </w:rPr>
        <w:t xml:space="preserve"> often</w:t>
      </w:r>
      <w:r>
        <w:rPr>
          <w:rFonts w:ascii="Cambria" w:hAnsi="Cambria"/>
        </w:rPr>
        <w:t xml:space="preserve"> </w:t>
      </w:r>
      <w:r w:rsidRPr="00460B23">
        <w:rPr>
          <w:rFonts w:ascii="Cambria" w:hAnsi="Cambria"/>
        </w:rPr>
        <w:t xml:space="preserve">termed vulnerable populations </w:t>
      </w:r>
      <w:r>
        <w:rPr>
          <w:rFonts w:ascii="Cambria" w:hAnsi="Cambria"/>
        </w:rPr>
        <w:t xml:space="preserve">– </w:t>
      </w:r>
      <w:r w:rsidRPr="00460B23">
        <w:rPr>
          <w:rFonts w:ascii="Cambria" w:hAnsi="Cambria"/>
        </w:rPr>
        <w:t>include</w:t>
      </w:r>
      <w:r>
        <w:rPr>
          <w:rFonts w:ascii="Cambria" w:hAnsi="Cambria"/>
        </w:rPr>
        <w:t xml:space="preserve"> </w:t>
      </w:r>
      <w:r w:rsidRPr="00460B23">
        <w:rPr>
          <w:rFonts w:ascii="Cambria" w:hAnsi="Cambria"/>
        </w:rPr>
        <w:t xml:space="preserve">the economically disadvantaged, </w:t>
      </w:r>
      <w:r>
        <w:rPr>
          <w:rFonts w:ascii="Cambria" w:hAnsi="Cambria"/>
        </w:rPr>
        <w:t>older people</w:t>
      </w:r>
      <w:r w:rsidRPr="00460B23">
        <w:rPr>
          <w:rFonts w:ascii="Cambria" w:hAnsi="Cambria"/>
        </w:rPr>
        <w:t>, racial and ethnic minorities, homeless, refugees and many others</w:t>
      </w:r>
      <w:r>
        <w:rPr>
          <w:rFonts w:ascii="Cambria" w:hAnsi="Cambria"/>
        </w:rPr>
        <w:t>; they</w:t>
      </w:r>
      <w:r w:rsidRPr="00460B23">
        <w:rPr>
          <w:rFonts w:ascii="Cambria" w:hAnsi="Cambria"/>
        </w:rPr>
        <w:t xml:space="preserve"> are especially susceptible to poor health, disability and early mortality. As demonstrated throughout the </w:t>
      </w:r>
      <w:r>
        <w:rPr>
          <w:rFonts w:ascii="Cambria" w:hAnsi="Cambria"/>
        </w:rPr>
        <w:t>coronavirus pandemic</w:t>
      </w:r>
      <w:r w:rsidRPr="00460B23">
        <w:rPr>
          <w:rFonts w:ascii="Cambria" w:hAnsi="Cambria"/>
        </w:rPr>
        <w:t xml:space="preserve">, healthcare delivery </w:t>
      </w:r>
      <w:r>
        <w:rPr>
          <w:rFonts w:ascii="Cambria" w:hAnsi="Cambria"/>
        </w:rPr>
        <w:t>has</w:t>
      </w:r>
      <w:r w:rsidRPr="00460B23">
        <w:rPr>
          <w:rFonts w:ascii="Cambria" w:hAnsi="Cambria"/>
        </w:rPr>
        <w:t xml:space="preserve"> often failed to meet the needs of vulnerable populations and new approaches </w:t>
      </w:r>
      <w:r>
        <w:rPr>
          <w:rFonts w:ascii="Cambria" w:hAnsi="Cambria"/>
        </w:rPr>
        <w:t>are needed</w:t>
      </w:r>
      <w:r w:rsidRPr="00460B23">
        <w:rPr>
          <w:rFonts w:ascii="Cambria" w:hAnsi="Cambria"/>
        </w:rPr>
        <w:t xml:space="preserve"> to address these growing and preventable concerns. </w:t>
      </w:r>
    </w:p>
    <w:p w14:paraId="369BDB7A" w14:textId="77777777" w:rsidR="007F6EB1" w:rsidRPr="00460B23" w:rsidRDefault="007F6EB1" w:rsidP="007F6EB1">
      <w:pPr>
        <w:spacing w:after="40" w:line="240" w:lineRule="auto"/>
        <w:jc w:val="both"/>
        <w:rPr>
          <w:rFonts w:ascii="Cambria" w:hAnsi="Cambria"/>
        </w:rPr>
      </w:pPr>
      <w:r w:rsidRPr="00460B23">
        <w:rPr>
          <w:rFonts w:ascii="Cambria" w:hAnsi="Cambria"/>
        </w:rPr>
        <w:t xml:space="preserve">Historically barriers to accessing health services have included price, stigma and discrimination. Throughout </w:t>
      </w:r>
      <w:r>
        <w:rPr>
          <w:rFonts w:ascii="Cambria" w:hAnsi="Cambria"/>
        </w:rPr>
        <w:t>the pandemic</w:t>
      </w:r>
      <w:r w:rsidRPr="00460B23">
        <w:rPr>
          <w:rFonts w:ascii="Cambria" w:hAnsi="Cambria"/>
        </w:rPr>
        <w:t>, the existent of barriers including failure to consider the accessibility, language and information requirements of these groups has been made evident.</w:t>
      </w:r>
    </w:p>
    <w:p w14:paraId="143FA061" w14:textId="77777777" w:rsidR="007F6EB1" w:rsidRPr="00460B23" w:rsidRDefault="007F6EB1" w:rsidP="007F6EB1">
      <w:pPr>
        <w:spacing w:after="40" w:line="240" w:lineRule="auto"/>
        <w:jc w:val="both"/>
        <w:rPr>
          <w:rFonts w:ascii="Cambria" w:hAnsi="Cambria"/>
        </w:rPr>
      </w:pPr>
      <w:r>
        <w:rPr>
          <w:rFonts w:ascii="Cambria" w:hAnsi="Cambria"/>
        </w:rPr>
        <w:t>Nurses’ primary role</w:t>
      </w:r>
      <w:r w:rsidRPr="00460B23">
        <w:rPr>
          <w:rFonts w:ascii="Cambria" w:hAnsi="Cambria"/>
        </w:rPr>
        <w:t xml:space="preserve"> is to advocate and care for individuals of all backgrounds and support them through health and illness, </w:t>
      </w:r>
      <w:r>
        <w:rPr>
          <w:rFonts w:ascii="Cambria" w:hAnsi="Cambria"/>
        </w:rPr>
        <w:t xml:space="preserve">and </w:t>
      </w:r>
      <w:r w:rsidRPr="00460B23">
        <w:rPr>
          <w:rFonts w:ascii="Cambria" w:hAnsi="Cambria"/>
        </w:rPr>
        <w:t xml:space="preserve">this article argues for changes to the current pre-registration nursing curriculum and </w:t>
      </w:r>
      <w:r>
        <w:rPr>
          <w:rFonts w:ascii="Cambria" w:hAnsi="Cambria"/>
        </w:rPr>
        <w:t>new</w:t>
      </w:r>
      <w:r w:rsidRPr="00460B23">
        <w:rPr>
          <w:rFonts w:ascii="Cambria" w:hAnsi="Cambria"/>
        </w:rPr>
        <w:t xml:space="preserve"> approaches </w:t>
      </w:r>
      <w:r>
        <w:rPr>
          <w:rFonts w:ascii="Cambria" w:hAnsi="Cambria"/>
        </w:rPr>
        <w:t>that</w:t>
      </w:r>
      <w:r w:rsidRPr="00460B23">
        <w:rPr>
          <w:rFonts w:ascii="Cambria" w:hAnsi="Cambria"/>
        </w:rPr>
        <w:t xml:space="preserve"> will secure a nursing workforce </w:t>
      </w:r>
      <w:r>
        <w:rPr>
          <w:rFonts w:ascii="Cambria" w:hAnsi="Cambria"/>
        </w:rPr>
        <w:t>with</w:t>
      </w:r>
      <w:r w:rsidRPr="00460B23">
        <w:rPr>
          <w:rFonts w:ascii="Cambria" w:hAnsi="Cambria"/>
        </w:rPr>
        <w:t xml:space="preserve"> a comprehensive understanding of the needs of vulnerable groups. </w:t>
      </w:r>
    </w:p>
    <w:p w14:paraId="270FA443" w14:textId="67F86089" w:rsidR="00F85FFD" w:rsidRPr="00F85FFD" w:rsidRDefault="007F6EB1" w:rsidP="007F6EB1">
      <w:pPr>
        <w:spacing w:after="40" w:line="240" w:lineRule="auto"/>
        <w:rPr>
          <w:rFonts w:ascii="Cambria" w:hAnsi="Cambria"/>
        </w:rPr>
      </w:pPr>
      <w:r w:rsidRPr="00460B23">
        <w:rPr>
          <w:rFonts w:ascii="Cambria" w:hAnsi="Cambria"/>
        </w:rPr>
        <w:lastRenderedPageBreak/>
        <w:t xml:space="preserve">The nursing profession is already fully engaged in the Covid-19 response. However, a </w:t>
      </w:r>
      <w:r>
        <w:rPr>
          <w:rFonts w:ascii="Cambria" w:hAnsi="Cambria"/>
        </w:rPr>
        <w:t xml:space="preserve">key </w:t>
      </w:r>
      <w:r w:rsidRPr="00460B23">
        <w:rPr>
          <w:rFonts w:ascii="Cambria" w:hAnsi="Cambria"/>
        </w:rPr>
        <w:t xml:space="preserve">lesson learned through this crisis is </w:t>
      </w:r>
      <w:r>
        <w:rPr>
          <w:rFonts w:ascii="Cambria" w:hAnsi="Cambria"/>
        </w:rPr>
        <w:t>that investment is needed</w:t>
      </w:r>
      <w:r w:rsidRPr="00460B23">
        <w:rPr>
          <w:rFonts w:ascii="Cambria" w:hAnsi="Cambria"/>
        </w:rPr>
        <w:t xml:space="preserve"> to secure a nursing workforce </w:t>
      </w:r>
      <w:r>
        <w:rPr>
          <w:rFonts w:ascii="Cambria" w:hAnsi="Cambria"/>
        </w:rPr>
        <w:t>with</w:t>
      </w:r>
      <w:r w:rsidRPr="00460B23">
        <w:rPr>
          <w:rFonts w:ascii="Cambria" w:hAnsi="Cambria"/>
        </w:rPr>
        <w:t xml:space="preserve"> the skills, capabilities, and confidence to tackle future challenges we may face. In achieving this, it is hoped during future public health emergencies we will </w:t>
      </w:r>
      <w:r>
        <w:rPr>
          <w:rFonts w:ascii="Cambria" w:hAnsi="Cambria"/>
        </w:rPr>
        <w:t>have a</w:t>
      </w:r>
      <w:r w:rsidRPr="00460B23">
        <w:rPr>
          <w:rFonts w:ascii="Cambria" w:hAnsi="Cambria"/>
        </w:rPr>
        <w:t xml:space="preserve"> nursing profession well placed to advocate for strategies </w:t>
      </w:r>
      <w:r>
        <w:rPr>
          <w:rFonts w:ascii="Cambria" w:hAnsi="Cambria"/>
        </w:rPr>
        <w:t>that include</w:t>
      </w:r>
      <w:r w:rsidRPr="00460B23">
        <w:rPr>
          <w:rFonts w:ascii="Cambria" w:hAnsi="Cambria"/>
        </w:rPr>
        <w:t xml:space="preserve"> vulnerable groups and prioritise </w:t>
      </w:r>
      <w:r>
        <w:rPr>
          <w:rFonts w:ascii="Cambria" w:hAnsi="Cambria"/>
        </w:rPr>
        <w:t>maintaining</w:t>
      </w:r>
      <w:r w:rsidRPr="00460B23">
        <w:rPr>
          <w:rFonts w:ascii="Cambria" w:hAnsi="Cambria"/>
        </w:rPr>
        <w:t xml:space="preserve"> human rights and </w:t>
      </w:r>
      <w:r>
        <w:rPr>
          <w:rFonts w:ascii="Cambria" w:hAnsi="Cambria"/>
        </w:rPr>
        <w:t>reducing</w:t>
      </w:r>
      <w:r w:rsidRPr="00460B23">
        <w:rPr>
          <w:rFonts w:ascii="Cambria" w:hAnsi="Cambria"/>
        </w:rPr>
        <w:t xml:space="preserve"> inequalities.</w:t>
      </w:r>
    </w:p>
    <w:p w14:paraId="1E1D6D51" w14:textId="77777777" w:rsidR="00327A70" w:rsidRDefault="00327A70" w:rsidP="00222734">
      <w:pPr>
        <w:spacing w:after="40" w:line="240" w:lineRule="auto"/>
        <w:rPr>
          <w:rFonts w:ascii="Cambria" w:hAnsi="Cambria" w:cs="Arial"/>
          <w:b/>
          <w:color w:val="5B9BD5" w:themeColor="accent1"/>
        </w:rPr>
      </w:pPr>
    </w:p>
    <w:p w14:paraId="69F78122" w14:textId="572C8AAB" w:rsidR="00F85FFD" w:rsidRPr="00F85FFD" w:rsidRDefault="00F85FFD" w:rsidP="00222734">
      <w:pPr>
        <w:spacing w:after="40" w:line="240" w:lineRule="auto"/>
        <w:rPr>
          <w:rFonts w:ascii="Cambria" w:hAnsi="Cambria" w:cs="Arial"/>
        </w:rPr>
      </w:pPr>
      <w:r w:rsidRPr="007A6F45">
        <w:rPr>
          <w:rFonts w:asciiTheme="minorHAnsi" w:hAnsiTheme="minorHAnsi" w:cs="Arial"/>
          <w:b/>
          <w:color w:val="5B9BD5" w:themeColor="accent1"/>
          <w:sz w:val="24"/>
          <w:szCs w:val="24"/>
        </w:rPr>
        <w:t>Author:</w:t>
      </w:r>
      <w:r w:rsidRPr="00F85FFD">
        <w:rPr>
          <w:rFonts w:ascii="Cambria" w:hAnsi="Cambria" w:cs="Arial"/>
          <w:b/>
        </w:rPr>
        <w:t xml:space="preserve"> </w:t>
      </w:r>
      <w:r w:rsidR="007F6EB1" w:rsidRPr="007F6EB1">
        <w:rPr>
          <w:rFonts w:ascii="Cambria" w:hAnsi="Cambria" w:cs="Calibri"/>
          <w:b/>
          <w:bCs/>
        </w:rPr>
        <w:t xml:space="preserve">Amrit Kaur </w:t>
      </w:r>
      <w:proofErr w:type="spellStart"/>
      <w:r w:rsidR="007F6EB1" w:rsidRPr="007F6EB1">
        <w:rPr>
          <w:rFonts w:ascii="Cambria" w:hAnsi="Cambria" w:cs="Calibri"/>
          <w:b/>
          <w:bCs/>
        </w:rPr>
        <w:t>Purba</w:t>
      </w:r>
      <w:proofErr w:type="spellEnd"/>
      <w:r w:rsidR="007F6EB1" w:rsidRPr="00626845">
        <w:rPr>
          <w:rFonts w:ascii="Cambria" w:hAnsi="Cambria" w:cs="Calibri"/>
        </w:rPr>
        <w:t>, PhD candidate</w:t>
      </w:r>
      <w:r w:rsidR="007F6EB1">
        <w:rPr>
          <w:rFonts w:ascii="Cambria" w:hAnsi="Cambria" w:cs="Calibri"/>
        </w:rPr>
        <w:t>,</w:t>
      </w:r>
      <w:r w:rsidR="007F6EB1" w:rsidRPr="00626845">
        <w:rPr>
          <w:rFonts w:ascii="Cambria" w:hAnsi="Cambria" w:cs="Calibri"/>
        </w:rPr>
        <w:t xml:space="preserve"> Medical Research Council/Chief Scientists Office Social and Public Health Sciences Unit, University of Glasgow</w:t>
      </w:r>
      <w:r w:rsidRPr="00F85FFD">
        <w:rPr>
          <w:rFonts w:ascii="Cambria" w:hAnsi="Cambria" w:cs="Arial"/>
        </w:rPr>
        <w:t>.</w:t>
      </w:r>
    </w:p>
    <w:p w14:paraId="30158228" w14:textId="77777777" w:rsidR="0055046A" w:rsidRDefault="0055046A" w:rsidP="00222734">
      <w:pPr>
        <w:spacing w:after="0" w:line="240" w:lineRule="auto"/>
        <w:rPr>
          <w:rFonts w:ascii="Cambria" w:hAnsi="Cambria"/>
        </w:rPr>
      </w:pPr>
    </w:p>
    <w:p w14:paraId="4A551719" w14:textId="09703107" w:rsidR="00F85FFD" w:rsidRPr="009A0C18" w:rsidRDefault="00F85FFD" w:rsidP="00222734">
      <w:pPr>
        <w:spacing w:after="0" w:line="240" w:lineRule="auto"/>
        <w:rPr>
          <w:rFonts w:asciiTheme="minorHAnsi" w:hAnsiTheme="minorHAnsi"/>
          <w:b/>
          <w:color w:val="5B9BD5" w:themeColor="accent1"/>
          <w:sz w:val="24"/>
        </w:rPr>
      </w:pPr>
      <w:r w:rsidRPr="009A0C18">
        <w:rPr>
          <w:rFonts w:asciiTheme="minorHAnsi" w:hAnsiTheme="minorHAnsi"/>
          <w:b/>
          <w:color w:val="5B9BD5" w:themeColor="accent1"/>
          <w:sz w:val="24"/>
        </w:rPr>
        <w:t>Discussion points</w:t>
      </w:r>
    </w:p>
    <w:p w14:paraId="3D63F1C0" w14:textId="4DEDEF5E" w:rsidR="00F85FFD" w:rsidRPr="00F85FFD" w:rsidRDefault="007F6EB1" w:rsidP="009A0C18">
      <w:pPr>
        <w:pStyle w:val="ListParagraph"/>
        <w:numPr>
          <w:ilvl w:val="0"/>
          <w:numId w:val="6"/>
        </w:numPr>
        <w:spacing w:line="240" w:lineRule="auto"/>
        <w:rPr>
          <w:rFonts w:ascii="Cambria" w:hAnsi="Cambria"/>
        </w:rPr>
      </w:pPr>
      <w:r w:rsidRPr="00460B23">
        <w:rPr>
          <w:rFonts w:ascii="Cambria" w:hAnsi="Cambria"/>
        </w:rPr>
        <w:t>What do you understand by the term ‘nurse advocate’?</w:t>
      </w:r>
    </w:p>
    <w:p w14:paraId="1924D2D7" w14:textId="344058C5" w:rsidR="007F6EB1" w:rsidRPr="007F6EB1" w:rsidRDefault="007F6EB1" w:rsidP="007F6EB1">
      <w:pPr>
        <w:pStyle w:val="ListParagraph"/>
        <w:numPr>
          <w:ilvl w:val="0"/>
          <w:numId w:val="6"/>
        </w:numPr>
        <w:spacing w:after="40" w:line="240" w:lineRule="auto"/>
        <w:rPr>
          <w:rFonts w:ascii="Cambria" w:hAnsi="Cambria"/>
        </w:rPr>
      </w:pPr>
      <w:r w:rsidRPr="007F6EB1">
        <w:rPr>
          <w:rFonts w:ascii="Cambria" w:hAnsi="Cambria"/>
        </w:rPr>
        <w:t xml:space="preserve">Do you feel you </w:t>
      </w:r>
      <w:r>
        <w:rPr>
          <w:rFonts w:ascii="Cambria" w:hAnsi="Cambria"/>
        </w:rPr>
        <w:t>have</w:t>
      </w:r>
      <w:r w:rsidRPr="007F6EB1">
        <w:rPr>
          <w:rFonts w:ascii="Cambria" w:hAnsi="Cambria"/>
        </w:rPr>
        <w:t xml:space="preserve"> the skills, time and autonomy to act as nurse advocates both in previous practice and during the </w:t>
      </w:r>
      <w:r>
        <w:rPr>
          <w:rFonts w:ascii="Cambria" w:hAnsi="Cambria"/>
        </w:rPr>
        <w:t>coronavirus pandemic</w:t>
      </w:r>
      <w:r w:rsidRPr="007F6EB1">
        <w:rPr>
          <w:rFonts w:ascii="Cambria" w:hAnsi="Cambria"/>
        </w:rPr>
        <w:t>?</w:t>
      </w:r>
    </w:p>
    <w:p w14:paraId="34B9446B" w14:textId="77777777" w:rsidR="007F6EB1" w:rsidRPr="007F6EB1" w:rsidRDefault="007F6EB1" w:rsidP="007F6EB1">
      <w:pPr>
        <w:pStyle w:val="ListParagraph"/>
        <w:numPr>
          <w:ilvl w:val="0"/>
          <w:numId w:val="6"/>
        </w:numPr>
        <w:spacing w:after="40" w:line="240" w:lineRule="auto"/>
        <w:rPr>
          <w:rFonts w:ascii="Cambria" w:hAnsi="Cambria"/>
        </w:rPr>
      </w:pPr>
      <w:r w:rsidRPr="007F6EB1">
        <w:rPr>
          <w:rFonts w:ascii="Cambria" w:hAnsi="Cambria"/>
        </w:rPr>
        <w:t>What do you understand by the term ‘vulnerable populations’?</w:t>
      </w:r>
    </w:p>
    <w:p w14:paraId="42828D32" w14:textId="60DEDE16" w:rsidR="007F6EB1" w:rsidRPr="007F6EB1" w:rsidRDefault="007F6EB1" w:rsidP="007F6EB1">
      <w:pPr>
        <w:pStyle w:val="ListParagraph"/>
        <w:numPr>
          <w:ilvl w:val="0"/>
          <w:numId w:val="6"/>
        </w:numPr>
        <w:spacing w:after="40" w:line="240" w:lineRule="auto"/>
        <w:rPr>
          <w:rFonts w:ascii="Cambria" w:hAnsi="Cambria"/>
        </w:rPr>
      </w:pPr>
      <w:r w:rsidRPr="007F6EB1">
        <w:rPr>
          <w:rFonts w:ascii="Cambria" w:hAnsi="Cambria"/>
        </w:rPr>
        <w:t xml:space="preserve">What are some of the barriers vulnerable populations have faced throughout the </w:t>
      </w:r>
      <w:r>
        <w:rPr>
          <w:rFonts w:ascii="Cambria" w:hAnsi="Cambria"/>
        </w:rPr>
        <w:t>coronavirus pandemic</w:t>
      </w:r>
      <w:r w:rsidRPr="007F6EB1">
        <w:rPr>
          <w:rFonts w:ascii="Cambria" w:hAnsi="Cambria"/>
        </w:rPr>
        <w:t>?</w:t>
      </w:r>
    </w:p>
    <w:p w14:paraId="256F8637" w14:textId="12F9E177" w:rsidR="007F6EB1" w:rsidRPr="007F6EB1" w:rsidRDefault="007F6EB1" w:rsidP="007F6EB1">
      <w:pPr>
        <w:pStyle w:val="ListParagraph"/>
        <w:numPr>
          <w:ilvl w:val="0"/>
          <w:numId w:val="6"/>
        </w:numPr>
        <w:spacing w:after="40" w:line="240" w:lineRule="auto"/>
        <w:rPr>
          <w:rFonts w:ascii="Cambria" w:hAnsi="Cambria"/>
        </w:rPr>
      </w:pPr>
      <w:r>
        <w:rPr>
          <w:rFonts w:ascii="Cambria" w:hAnsi="Cambria"/>
        </w:rPr>
        <w:t>Do</w:t>
      </w:r>
      <w:r w:rsidRPr="007F6EB1">
        <w:rPr>
          <w:rFonts w:ascii="Cambria" w:hAnsi="Cambria"/>
        </w:rPr>
        <w:t xml:space="preserve"> pre-registration nursing programmes </w:t>
      </w:r>
      <w:r>
        <w:rPr>
          <w:rFonts w:ascii="Cambria" w:hAnsi="Cambria"/>
        </w:rPr>
        <w:t>need to change</w:t>
      </w:r>
      <w:r w:rsidRPr="007F6EB1">
        <w:rPr>
          <w:rFonts w:ascii="Cambria" w:hAnsi="Cambria"/>
        </w:rPr>
        <w:t xml:space="preserve"> to reflect the changing complexity of </w:t>
      </w:r>
      <w:r>
        <w:rPr>
          <w:rFonts w:ascii="Cambria" w:hAnsi="Cambria"/>
        </w:rPr>
        <w:t xml:space="preserve">contemporary </w:t>
      </w:r>
      <w:r w:rsidRPr="007F6EB1">
        <w:rPr>
          <w:rFonts w:ascii="Cambria" w:hAnsi="Cambria"/>
        </w:rPr>
        <w:t>healthcare challenges?</w:t>
      </w:r>
    </w:p>
    <w:p w14:paraId="7FEEBD32" w14:textId="660A3D2D" w:rsidR="00A00609" w:rsidRPr="00F85FFD" w:rsidRDefault="007F6EB1" w:rsidP="007F6EB1">
      <w:pPr>
        <w:pStyle w:val="ListParagraph"/>
        <w:numPr>
          <w:ilvl w:val="0"/>
          <w:numId w:val="6"/>
        </w:numPr>
        <w:spacing w:line="240" w:lineRule="auto"/>
        <w:rPr>
          <w:rFonts w:ascii="Cambria" w:hAnsi="Cambria"/>
        </w:rPr>
      </w:pPr>
      <w:r>
        <w:rPr>
          <w:rFonts w:ascii="Cambria" w:hAnsi="Cambria"/>
        </w:rPr>
        <w:t>How might</w:t>
      </w:r>
      <w:r w:rsidRPr="00460B23">
        <w:rPr>
          <w:rFonts w:ascii="Cambria" w:hAnsi="Cambria"/>
        </w:rPr>
        <w:t xml:space="preserve"> the approaches outlined in this article</w:t>
      </w:r>
      <w:r>
        <w:rPr>
          <w:rFonts w:ascii="Cambria" w:hAnsi="Cambria"/>
        </w:rPr>
        <w:t xml:space="preserve"> be adopted</w:t>
      </w:r>
      <w:r w:rsidRPr="00460B23">
        <w:rPr>
          <w:rFonts w:ascii="Cambria" w:hAnsi="Cambria"/>
        </w:rPr>
        <w:t xml:space="preserve"> in your own practice?</w:t>
      </w:r>
    </w:p>
    <w:p w14:paraId="3164A81B" w14:textId="77777777" w:rsidR="00DF7E4E" w:rsidRPr="00222734" w:rsidRDefault="00DF7E4E" w:rsidP="00DF7E4E">
      <w:pPr>
        <w:rPr>
          <w:rFonts w:asciiTheme="minorHAnsi" w:hAnsiTheme="minorHAnsi" w:cs="Arial"/>
          <w:b/>
          <w:color w:val="2E74B5" w:themeColor="accent1" w:themeShade="BF"/>
          <w:sz w:val="16"/>
          <w:szCs w:val="16"/>
          <w:lang w:eastAsia="en-GB"/>
        </w:rPr>
      </w:pPr>
    </w:p>
    <w:p w14:paraId="0C07499D" w14:textId="77777777" w:rsidR="005228AA" w:rsidRPr="007E131B" w:rsidRDefault="002A134E" w:rsidP="00222734">
      <w:pPr>
        <w:autoSpaceDE w:val="0"/>
        <w:autoSpaceDN w:val="0"/>
        <w:adjustRightInd w:val="0"/>
        <w:spacing w:after="0" w:line="240" w:lineRule="auto"/>
        <w:rPr>
          <w:rFonts w:ascii="Cambria" w:eastAsiaTheme="minorHAnsi" w:hAnsi="Cambria" w:cs="Gotham-Book"/>
        </w:rPr>
        <w:sectPr w:rsidR="005228AA" w:rsidRPr="007E131B" w:rsidSect="00F51FCE">
          <w:headerReference w:type="default" r:id="rId8"/>
          <w:type w:val="continuous"/>
          <w:pgSz w:w="11906" w:h="16838"/>
          <w:pgMar w:top="1440" w:right="1440" w:bottom="1440" w:left="1440" w:header="2016" w:footer="708" w:gutter="0"/>
          <w:cols w:space="708"/>
          <w:docGrid w:linePitch="360"/>
        </w:sectPr>
      </w:pPr>
      <w:r>
        <w:rPr>
          <w:rFonts w:ascii="Cambria" w:eastAsiaTheme="minorHAnsi" w:hAnsi="Cambria" w:cs="Gotham-Book"/>
          <w:noProof/>
          <w:lang w:eastAsia="en-GB"/>
        </w:rPr>
        <mc:AlternateContent>
          <mc:Choice Requires="wps">
            <w:drawing>
              <wp:anchor distT="0" distB="0" distL="114300" distR="114300" simplePos="0" relativeHeight="251659264" behindDoc="0" locked="0" layoutInCell="1" allowOverlap="1" wp14:anchorId="6AF8884F" wp14:editId="5B923203">
                <wp:simplePos x="0" y="0"/>
                <wp:positionH relativeFrom="column">
                  <wp:posOffset>-63500</wp:posOffset>
                </wp:positionH>
                <wp:positionV relativeFrom="paragraph">
                  <wp:posOffset>165735</wp:posOffset>
                </wp:positionV>
                <wp:extent cx="5943600" cy="155194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43600" cy="1551940"/>
                        </a:xfrm>
                        <a:prstGeom prst="rect">
                          <a:avLst/>
                        </a:prstGeom>
                        <a:solidFill>
                          <a:schemeClr val="accent1">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C28247" w14:textId="77777777" w:rsidR="002A134E" w:rsidRPr="00462F69" w:rsidRDefault="002A134E" w:rsidP="00462F69">
                            <w:pPr>
                              <w:autoSpaceDE w:val="0"/>
                              <w:autoSpaceDN w:val="0"/>
                              <w:adjustRightInd w:val="0"/>
                              <w:spacing w:after="0"/>
                              <w:rPr>
                                <w:rFonts w:ascii="Cambria" w:hAnsi="Cambria"/>
                                <w:b/>
                                <w:color w:val="ED7D31" w:themeColor="accent2"/>
                                <w:sz w:val="32"/>
                              </w:rPr>
                            </w:pPr>
                            <w:r w:rsidRPr="00462F69">
                              <w:rPr>
                                <w:rFonts w:asciiTheme="minorHAnsi" w:hAnsiTheme="minorHAnsi"/>
                                <w:b/>
                                <w:color w:val="ED7D31" w:themeColor="accent2"/>
                                <w:sz w:val="36"/>
                              </w:rPr>
                              <w:t>Revalidation evidence</w:t>
                            </w:r>
                          </w:p>
                          <w:p w14:paraId="150CC892" w14:textId="77777777" w:rsidR="00720AB3" w:rsidRDefault="00720AB3" w:rsidP="00720AB3">
                            <w:pPr>
                              <w:spacing w:after="0" w:line="240" w:lineRule="auto"/>
                              <w:rPr>
                                <w:rFonts w:ascii="Cambria" w:hAnsi="Cambria"/>
                              </w:rPr>
                            </w:pPr>
                          </w:p>
                          <w:p w14:paraId="2677364C" w14:textId="77777777" w:rsidR="002A134E" w:rsidRPr="00462F69" w:rsidRDefault="00AF4CD6" w:rsidP="002A134E">
                            <w:pPr>
                              <w:spacing w:line="240" w:lineRule="auto"/>
                              <w:rPr>
                                <w:rFonts w:ascii="Cambria" w:hAnsi="Cambria"/>
                              </w:rPr>
                            </w:pPr>
                            <w:r>
                              <w:rPr>
                                <w:rFonts w:ascii="Cambria" w:hAnsi="Cambria"/>
                              </w:rPr>
                              <w:t>Make a note of how your journal c</w:t>
                            </w:r>
                            <w:r w:rsidR="002A134E" w:rsidRPr="00462F69">
                              <w:rPr>
                                <w:rFonts w:ascii="Cambria" w:hAnsi="Cambria"/>
                              </w:rPr>
                              <w:t xml:space="preserve">lub discussion relates to your own practice and the NMC Code, what you learnt from reading and discussing the article and how you will use this learning to change your practice. If you subscribe to </w:t>
                            </w:r>
                            <w:r w:rsidR="002A134E" w:rsidRPr="00462F69">
                              <w:rPr>
                                <w:rFonts w:ascii="Cambria" w:hAnsi="Cambria"/>
                                <w:i/>
                              </w:rPr>
                              <w:t>Nursing Times</w:t>
                            </w:r>
                            <w:r w:rsidR="00150B33">
                              <w:rPr>
                                <w:rFonts w:ascii="Cambria" w:hAnsi="Cambria"/>
                                <w:i/>
                              </w:rPr>
                              <w:t>,</w:t>
                            </w:r>
                            <w:r w:rsidR="002A134E" w:rsidRPr="00462F69">
                              <w:rPr>
                                <w:rFonts w:ascii="Cambria" w:hAnsi="Cambria"/>
                              </w:rPr>
                              <w:t xml:space="preserve"> you can upl</w:t>
                            </w:r>
                            <w:r w:rsidR="00150B33">
                              <w:rPr>
                                <w:rFonts w:ascii="Cambria" w:hAnsi="Cambria"/>
                              </w:rPr>
                              <w:t>oad this article</w:t>
                            </w:r>
                            <w:r w:rsidR="002A134E" w:rsidRPr="00462F69">
                              <w:rPr>
                                <w:rFonts w:ascii="Cambria" w:hAnsi="Cambria"/>
                              </w:rPr>
                              <w:t xml:space="preserve"> with your notes into y</w:t>
                            </w:r>
                            <w:r w:rsidR="00A052A3">
                              <w:rPr>
                                <w:rFonts w:ascii="Cambria" w:hAnsi="Cambria"/>
                              </w:rPr>
                              <w:t>our NT P</w:t>
                            </w:r>
                            <w:r w:rsidR="002A134E" w:rsidRPr="00462F69">
                              <w:rPr>
                                <w:rFonts w:ascii="Cambria" w:hAnsi="Cambria"/>
                              </w:rPr>
                              <w:t>ort</w:t>
                            </w:r>
                            <w:r w:rsidR="00A052A3">
                              <w:rPr>
                                <w:rFonts w:ascii="Cambria" w:hAnsi="Cambria"/>
                              </w:rPr>
                              <w:t>folio</w:t>
                            </w:r>
                            <w:r w:rsidR="002A134E" w:rsidRPr="00462F69">
                              <w:rPr>
                                <w:rFonts w:ascii="Cambria" w:hAnsi="Cambria"/>
                              </w:rPr>
                              <w:t xml:space="preserve"> as evidence of participatory CPD. You can also use it as the basis for a reflective account.</w:t>
                            </w:r>
                          </w:p>
                          <w:p w14:paraId="466AD05C" w14:textId="77777777" w:rsidR="002A134E" w:rsidRDefault="002A1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6AF8884F" id="_x0000_t202" coordsize="21600,21600" o:spt="202" path="m,l,21600r21600,l21600,xe">
                <v:stroke joinstyle="miter"/>
                <v:path gradientshapeok="t" o:connecttype="rect"/>
              </v:shapetype>
              <v:shape id="Text Box 7" o:spid="_x0000_s1026" type="#_x0000_t202" style="position:absolute;margin-left:-5pt;margin-top:13.05pt;width:468pt;height:1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" fillcolor="#deeaf6 [660]" stroked="f">
                <v:textbox>
                  <w:txbxContent>
                    <w:p w14:paraId="64C28247" w14:textId="77777777" w:rsidR="002A134E" w:rsidRPr="00462F69" w:rsidRDefault="002A134E" w:rsidP="00462F69">
                      <w:pPr>
                        <w:autoSpaceDE w:val="0"/>
                        <w:autoSpaceDN w:val="0"/>
                        <w:adjustRightInd w:val="0"/>
                        <w:spacing w:after="0"/>
                        <w:rPr>
                          <w:rFonts w:ascii="Cambria" w:hAnsi="Cambria"/>
                          <w:b/>
                          <w:color w:val="ED7D31" w:themeColor="accent2"/>
                          <w:sz w:val="32"/>
                        </w:rPr>
                      </w:pPr>
                      <w:r w:rsidRPr="00462F69">
                        <w:rPr>
                          <w:rFonts w:asciiTheme="minorHAnsi" w:hAnsiTheme="minorHAnsi"/>
                          <w:b/>
                          <w:color w:val="ED7D31" w:themeColor="accent2"/>
                          <w:sz w:val="36"/>
                        </w:rPr>
                        <w:t>Revalidation evidence</w:t>
                      </w:r>
                    </w:p>
                    <w:p w14:paraId="150CC892" w14:textId="77777777" w:rsidR="00720AB3" w:rsidRDefault="00720AB3" w:rsidP="00720AB3">
                      <w:pPr>
                        <w:spacing w:after="0" w:line="240" w:lineRule="auto"/>
                        <w:rPr>
                          <w:rFonts w:ascii="Cambria" w:hAnsi="Cambria"/>
                        </w:rPr>
                      </w:pPr>
                    </w:p>
                    <w:p w14:paraId="2677364C" w14:textId="77777777" w:rsidR="002A134E" w:rsidRPr="00462F69" w:rsidRDefault="00AF4CD6" w:rsidP="002A134E">
                      <w:pPr>
                        <w:spacing w:line="240" w:lineRule="auto"/>
                        <w:rPr>
                          <w:rFonts w:ascii="Cambria" w:hAnsi="Cambria"/>
                        </w:rPr>
                      </w:pPr>
                      <w:r>
                        <w:rPr>
                          <w:rFonts w:ascii="Cambria" w:hAnsi="Cambria"/>
                        </w:rPr>
                        <w:t>Make a note of how your journal c</w:t>
                      </w:r>
                      <w:r w:rsidR="002A134E" w:rsidRPr="00462F69">
                        <w:rPr>
                          <w:rFonts w:ascii="Cambria" w:hAnsi="Cambria"/>
                        </w:rPr>
                        <w:t xml:space="preserve">lub discussion relates to your own practice and the NMC Code, what you learnt from reading and discussing the article and how you will use this learning to change your practice. If you subscribe to </w:t>
                      </w:r>
                      <w:r w:rsidR="002A134E" w:rsidRPr="00462F69">
                        <w:rPr>
                          <w:rFonts w:ascii="Cambria" w:hAnsi="Cambria"/>
                          <w:i/>
                        </w:rPr>
                        <w:t>Nursing Times</w:t>
                      </w:r>
                      <w:r w:rsidR="00150B33">
                        <w:rPr>
                          <w:rFonts w:ascii="Cambria" w:hAnsi="Cambria"/>
                          <w:i/>
                        </w:rPr>
                        <w:t>,</w:t>
                      </w:r>
                      <w:r w:rsidR="002A134E" w:rsidRPr="00462F69">
                        <w:rPr>
                          <w:rFonts w:ascii="Cambria" w:hAnsi="Cambria"/>
                        </w:rPr>
                        <w:t xml:space="preserve"> you can upl</w:t>
                      </w:r>
                      <w:r w:rsidR="00150B33">
                        <w:rPr>
                          <w:rFonts w:ascii="Cambria" w:hAnsi="Cambria"/>
                        </w:rPr>
                        <w:t>oad this article</w:t>
                      </w:r>
                      <w:r w:rsidR="002A134E" w:rsidRPr="00462F69">
                        <w:rPr>
                          <w:rFonts w:ascii="Cambria" w:hAnsi="Cambria"/>
                        </w:rPr>
                        <w:t xml:space="preserve"> with your notes into y</w:t>
                      </w:r>
                      <w:r w:rsidR="00A052A3">
                        <w:rPr>
                          <w:rFonts w:ascii="Cambria" w:hAnsi="Cambria"/>
                        </w:rPr>
                        <w:t>our NT P</w:t>
                      </w:r>
                      <w:r w:rsidR="002A134E" w:rsidRPr="00462F69">
                        <w:rPr>
                          <w:rFonts w:ascii="Cambria" w:hAnsi="Cambria"/>
                        </w:rPr>
                        <w:t>ort</w:t>
                      </w:r>
                      <w:r w:rsidR="00A052A3">
                        <w:rPr>
                          <w:rFonts w:ascii="Cambria" w:hAnsi="Cambria"/>
                        </w:rPr>
                        <w:t>folio</w:t>
                      </w:r>
                      <w:r w:rsidR="002A134E" w:rsidRPr="00462F69">
                        <w:rPr>
                          <w:rFonts w:ascii="Cambria" w:hAnsi="Cambria"/>
                        </w:rPr>
                        <w:t xml:space="preserve"> as evidence of participatory CPD. You can also use it as the basis for a reflective account.</w:t>
                      </w:r>
                    </w:p>
                    <w:p w14:paraId="466AD05C" w14:textId="77777777" w:rsidR="002A134E" w:rsidRDefault="002A134E"/>
                  </w:txbxContent>
                </v:textbox>
                <w10:wrap type="square"/>
              </v:shape>
            </w:pict>
          </mc:Fallback>
        </mc:AlternateContent>
      </w:r>
    </w:p>
    <w:p w14:paraId="0E9FD3E5" w14:textId="77777777" w:rsidR="005228AA" w:rsidRDefault="005228AA" w:rsidP="009A0C18">
      <w:pPr>
        <w:spacing w:line="240" w:lineRule="auto"/>
        <w:rPr>
          <w:rFonts w:ascii="Century" w:hAnsi="Century"/>
        </w:rPr>
        <w:sectPr w:rsidR="005228AA" w:rsidSect="005228AA">
          <w:type w:val="continuous"/>
          <w:pgSz w:w="11906" w:h="16838"/>
          <w:pgMar w:top="1440" w:right="849" w:bottom="1440" w:left="1440" w:header="708" w:footer="708" w:gutter="0"/>
          <w:cols w:num="2" w:space="708"/>
          <w:docGrid w:linePitch="360"/>
        </w:sectPr>
      </w:pPr>
    </w:p>
    <w:p w14:paraId="2490B316" w14:textId="77777777" w:rsidR="007E131B" w:rsidRDefault="007E131B" w:rsidP="009A0C18">
      <w:pPr>
        <w:spacing w:line="240" w:lineRule="auto"/>
        <w:rPr>
          <w:rFonts w:ascii="Century" w:hAnsi="Century"/>
        </w:rPr>
      </w:pPr>
    </w:p>
    <w:p w14:paraId="5E3323FD" w14:textId="77777777" w:rsidR="005228AA" w:rsidRPr="005228AA" w:rsidRDefault="005228AA" w:rsidP="009A0C18">
      <w:pPr>
        <w:spacing w:line="240" w:lineRule="auto"/>
        <w:rPr>
          <w:rFonts w:asciiTheme="minorHAnsi" w:hAnsiTheme="minorHAnsi"/>
          <w:b/>
          <w:color w:val="5B9BD5" w:themeColor="accent1"/>
          <w:sz w:val="32"/>
        </w:rPr>
      </w:pPr>
      <w:r w:rsidRPr="005228AA">
        <w:rPr>
          <w:rFonts w:asciiTheme="minorHAnsi" w:hAnsiTheme="minorHAnsi"/>
          <w:b/>
          <w:color w:val="5B9BD5" w:themeColor="accent1"/>
          <w:sz w:val="32"/>
        </w:rPr>
        <w:t>Your notes</w:t>
      </w:r>
    </w:p>
    <w:sectPr w:rsidR="005228AA" w:rsidRPr="005228AA" w:rsidSect="0022273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F702" w14:textId="77777777" w:rsidR="006D74E8" w:rsidRDefault="006D74E8" w:rsidP="00F85FFD">
      <w:pPr>
        <w:spacing w:after="0" w:line="240" w:lineRule="auto"/>
      </w:pPr>
      <w:r>
        <w:separator/>
      </w:r>
    </w:p>
  </w:endnote>
  <w:endnote w:type="continuationSeparator" w:id="0">
    <w:p w14:paraId="00D50F4D" w14:textId="77777777" w:rsidR="006D74E8" w:rsidRDefault="006D74E8" w:rsidP="00F8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tham-Book">
    <w:altName w:val="Calibri"/>
    <w:panose1 w:val="00000000000000000000"/>
    <w:charset w:val="00"/>
    <w:family w:val="swiss"/>
    <w:notTrueType/>
    <w:pitch w:val="default"/>
    <w:sig w:usb0="00000003" w:usb1="00000000" w:usb2="00000000" w:usb3="00000000" w:csb0="00000001" w:csb1="00000000"/>
  </w:font>
  <w:font w:name="Gotham-BookItalic">
    <w:altName w:val="Cambria"/>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9CAA" w14:textId="77777777" w:rsidR="006D74E8" w:rsidRDefault="006D74E8" w:rsidP="00F85FFD">
      <w:pPr>
        <w:spacing w:after="0" w:line="240" w:lineRule="auto"/>
      </w:pPr>
      <w:r>
        <w:separator/>
      </w:r>
    </w:p>
  </w:footnote>
  <w:footnote w:type="continuationSeparator" w:id="0">
    <w:p w14:paraId="372BBD6A" w14:textId="77777777" w:rsidR="006D74E8" w:rsidRDefault="006D74E8" w:rsidP="00F85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B780" w14:textId="77777777" w:rsidR="00F85FFD" w:rsidRDefault="00F85FFD">
    <w:pPr>
      <w:pStyle w:val="Header"/>
    </w:pPr>
    <w:r>
      <w:rPr>
        <w:noProof/>
        <w:lang w:eastAsia="en-GB"/>
      </w:rPr>
      <w:drawing>
        <wp:anchor distT="0" distB="0" distL="114300" distR="114300" simplePos="0" relativeHeight="251658240" behindDoc="0" locked="0" layoutInCell="1" allowOverlap="1" wp14:anchorId="5875DD00" wp14:editId="3CAC3AAB">
          <wp:simplePos x="0" y="0"/>
          <wp:positionH relativeFrom="margin">
            <wp:posOffset>2674620</wp:posOffset>
          </wp:positionH>
          <wp:positionV relativeFrom="margin">
            <wp:posOffset>-1234440</wp:posOffset>
          </wp:positionV>
          <wp:extent cx="849630" cy="108394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urnal Clu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630" cy="10839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562C" w14:textId="77777777" w:rsidR="00D77CCE" w:rsidRDefault="00F51FCE">
    <w:pPr>
      <w:pStyle w:val="Header"/>
    </w:pPr>
    <w:r>
      <w:rPr>
        <w:noProof/>
        <w:lang w:eastAsia="en-GB"/>
      </w:rPr>
      <w:drawing>
        <wp:anchor distT="0" distB="0" distL="114300" distR="114300" simplePos="0" relativeHeight="251660288" behindDoc="0" locked="0" layoutInCell="1" allowOverlap="1" wp14:anchorId="36537AA7" wp14:editId="3B952BEA">
          <wp:simplePos x="0" y="0"/>
          <wp:positionH relativeFrom="margin">
            <wp:posOffset>2397760</wp:posOffset>
          </wp:positionH>
          <wp:positionV relativeFrom="margin">
            <wp:posOffset>-1224280</wp:posOffset>
          </wp:positionV>
          <wp:extent cx="849630" cy="108394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urnal Clu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630" cy="1083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1B5"/>
    <w:multiLevelType w:val="hybridMultilevel"/>
    <w:tmpl w:val="EF262AA0"/>
    <w:lvl w:ilvl="0" w:tplc="3962E11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97668"/>
    <w:multiLevelType w:val="hybridMultilevel"/>
    <w:tmpl w:val="A6FCBDB4"/>
    <w:lvl w:ilvl="0" w:tplc="1AD22D9C">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F6BF8"/>
    <w:multiLevelType w:val="hybridMultilevel"/>
    <w:tmpl w:val="46CC5390"/>
    <w:lvl w:ilvl="0" w:tplc="A4C49BB2">
      <w:start w:val="1"/>
      <w:numFmt w:val="bullet"/>
      <w:lvlText w:val=""/>
      <w:lvlJc w:val="left"/>
      <w:pPr>
        <w:ind w:left="720" w:hanging="360"/>
      </w:pPr>
      <w:rPr>
        <w:rFonts w:ascii="Symbol" w:hAnsi="Symbol" w:hint="default"/>
        <w:color w:val="FB91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55F9B"/>
    <w:multiLevelType w:val="hybridMultilevel"/>
    <w:tmpl w:val="339EB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F21F6"/>
    <w:multiLevelType w:val="hybridMultilevel"/>
    <w:tmpl w:val="1A64E4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6810D3"/>
    <w:multiLevelType w:val="hybridMultilevel"/>
    <w:tmpl w:val="466272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33"/>
    <w:rsid w:val="000A7BA2"/>
    <w:rsid w:val="000F7014"/>
    <w:rsid w:val="00150B33"/>
    <w:rsid w:val="00222734"/>
    <w:rsid w:val="002A134E"/>
    <w:rsid w:val="00327A70"/>
    <w:rsid w:val="00343579"/>
    <w:rsid w:val="003A06ED"/>
    <w:rsid w:val="003D54A6"/>
    <w:rsid w:val="0041070C"/>
    <w:rsid w:val="004302FE"/>
    <w:rsid w:val="00462F69"/>
    <w:rsid w:val="005228AA"/>
    <w:rsid w:val="0055046A"/>
    <w:rsid w:val="005766D5"/>
    <w:rsid w:val="005811DB"/>
    <w:rsid w:val="005A2840"/>
    <w:rsid w:val="006475D5"/>
    <w:rsid w:val="006D74E8"/>
    <w:rsid w:val="00720AB3"/>
    <w:rsid w:val="00723E45"/>
    <w:rsid w:val="00771264"/>
    <w:rsid w:val="0078749B"/>
    <w:rsid w:val="007A6F45"/>
    <w:rsid w:val="007E131B"/>
    <w:rsid w:val="007F6EB1"/>
    <w:rsid w:val="008230E8"/>
    <w:rsid w:val="00835572"/>
    <w:rsid w:val="009A0C18"/>
    <w:rsid w:val="00A00609"/>
    <w:rsid w:val="00A052A3"/>
    <w:rsid w:val="00A33432"/>
    <w:rsid w:val="00A757F9"/>
    <w:rsid w:val="00A87528"/>
    <w:rsid w:val="00A954DD"/>
    <w:rsid w:val="00AF4CD6"/>
    <w:rsid w:val="00B84282"/>
    <w:rsid w:val="00C47E07"/>
    <w:rsid w:val="00C53874"/>
    <w:rsid w:val="00CD35BF"/>
    <w:rsid w:val="00D31DBD"/>
    <w:rsid w:val="00D77CCE"/>
    <w:rsid w:val="00DF7E4E"/>
    <w:rsid w:val="00E20680"/>
    <w:rsid w:val="00F00B06"/>
    <w:rsid w:val="00F51FCE"/>
    <w:rsid w:val="00F8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39F9"/>
  <w15:chartTrackingRefBased/>
  <w15:docId w15:val="{F57C30B2-71D8-4296-BAA5-F0841EDE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5FF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FFD"/>
  </w:style>
  <w:style w:type="paragraph" w:styleId="Footer">
    <w:name w:val="footer"/>
    <w:basedOn w:val="Normal"/>
    <w:link w:val="FooterChar"/>
    <w:uiPriority w:val="99"/>
    <w:unhideWhenUsed/>
    <w:rsid w:val="00F8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FFD"/>
  </w:style>
  <w:style w:type="paragraph" w:styleId="ListParagraph">
    <w:name w:val="List Paragraph"/>
    <w:basedOn w:val="Normal"/>
    <w:uiPriority w:val="34"/>
    <w:qFormat/>
    <w:rsid w:val="00F85FFD"/>
    <w:pPr>
      <w:ind w:left="720"/>
      <w:contextualSpacing/>
    </w:pPr>
  </w:style>
  <w:style w:type="table" w:styleId="TableGrid">
    <w:name w:val="Table Grid"/>
    <w:basedOn w:val="TableNormal"/>
    <w:uiPriority w:val="39"/>
    <w:rsid w:val="00F8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Anne-Claire Bouzanne</dc:creator>
  <cp:keywords/>
  <dc:description/>
  <cp:lastModifiedBy>Sarita Dsilva</cp:lastModifiedBy>
  <cp:revision>2</cp:revision>
  <dcterms:created xsi:type="dcterms:W3CDTF">2020-05-26T05:24:00Z</dcterms:created>
  <dcterms:modified xsi:type="dcterms:W3CDTF">2020-05-26T05:24:00Z</dcterms:modified>
</cp:coreProperties>
</file>